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2E8C" w14:textId="77777777" w:rsidR="00C035C1" w:rsidRDefault="00311F8C">
      <w:pPr>
        <w:pStyle w:val="Title"/>
        <w:spacing w:line="187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50464" behindDoc="1" locked="0" layoutInCell="1" allowOverlap="1" wp14:anchorId="0886B3E4" wp14:editId="1320D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60005" y="10692003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FDE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D4B0A" id="Graphic 1" o:spid="_x0000_s1026" alt="&quot;&quot;" style="position:absolute;margin-left:0;margin-top:0;width:595.3pt;height:841.9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" path="m7560005,l,,,10692003r7560005,l7560005,xe" fillcolor="#cfdef1" stroked="f">
                <v:path arrowok="t"/>
                <w10:wrap anchorx="page" anchory="page"/>
              </v:shape>
            </w:pict>
          </mc:Fallback>
        </mc:AlternateContent>
      </w:r>
      <w:r>
        <w:t>ACCESSIBILITY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INCLUSION</w:t>
      </w:r>
      <w:r>
        <w:rPr>
          <w:spacing w:val="-17"/>
        </w:rPr>
        <w:t xml:space="preserve"> </w:t>
      </w:r>
      <w:r>
        <w:t xml:space="preserve">SAFEGUARDING </w:t>
      </w:r>
      <w:r>
        <w:rPr>
          <w:spacing w:val="-2"/>
        </w:rPr>
        <w:t>CHECKLIST</w:t>
      </w:r>
    </w:p>
    <w:p w14:paraId="7A71AD03" w14:textId="6656A912" w:rsidR="00C035C1" w:rsidRDefault="00311F8C">
      <w:pPr>
        <w:tabs>
          <w:tab w:val="left" w:pos="553"/>
        </w:tabs>
        <w:spacing w:before="252" w:line="300" w:lineRule="exact"/>
        <w:ind w:left="100"/>
        <w:rPr>
          <w:sz w:val="24"/>
        </w:rPr>
      </w:pPr>
      <w:r w:rsidRPr="00311F8C">
        <w:rPr>
          <w:rFonts w:ascii="Segoe UI Symbol" w:hAnsi="Segoe UI Symbol" w:cs="Segoe UI Symbol"/>
          <w:spacing w:val="-10"/>
          <w:sz w:val="24"/>
        </w:rPr>
        <w:t>❏</w:t>
      </w:r>
      <w:r>
        <w:rPr>
          <w:rFonts w:ascii="Engravers MT" w:hAnsi="Engravers MT"/>
          <w:sz w:val="24"/>
        </w:rPr>
        <w:tab/>
      </w:r>
      <w:r>
        <w:rPr>
          <w:i/>
          <w:sz w:val="24"/>
        </w:rPr>
        <w:t>‘Reflect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influence’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directly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indirectly</w:t>
      </w:r>
      <w:r>
        <w:rPr>
          <w:spacing w:val="-5"/>
          <w:sz w:val="24"/>
        </w:rPr>
        <w:t xml:space="preserve"> </w:t>
      </w:r>
      <w:r>
        <w:rPr>
          <w:sz w:val="24"/>
        </w:rPr>
        <w:t>disadvantages</w:t>
      </w:r>
      <w:r>
        <w:rPr>
          <w:spacing w:val="-5"/>
          <w:sz w:val="24"/>
        </w:rPr>
        <w:t xml:space="preserve"> </w:t>
      </w:r>
      <w:r>
        <w:rPr>
          <w:sz w:val="24"/>
        </w:rPr>
        <w:t>others.</w:t>
      </w:r>
      <w:r>
        <w:rPr>
          <w:spacing w:val="-4"/>
          <w:sz w:val="24"/>
        </w:rPr>
        <w:t xml:space="preserve"> Learn</w:t>
      </w:r>
    </w:p>
    <w:p w14:paraId="76074B8A" w14:textId="77777777" w:rsidR="00C035C1" w:rsidRDefault="00311F8C">
      <w:pPr>
        <w:spacing w:line="300" w:lineRule="exact"/>
        <w:ind w:left="553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3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influence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‘Guide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Getting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Mindset’</w:t>
      </w:r>
      <w:r>
        <w:rPr>
          <w:spacing w:val="-2"/>
          <w:sz w:val="24"/>
        </w:rPr>
        <w:t>.</w:t>
      </w:r>
    </w:p>
    <w:p w14:paraId="10E9EC4A" w14:textId="77777777" w:rsidR="00C035C1" w:rsidRDefault="00C035C1">
      <w:pPr>
        <w:pStyle w:val="BodyText"/>
        <w:spacing w:before="22"/>
      </w:pPr>
    </w:p>
    <w:p w14:paraId="791A8FCC" w14:textId="13BB86AA" w:rsidR="00C035C1" w:rsidRDefault="00311F8C">
      <w:pPr>
        <w:pStyle w:val="BodyText"/>
        <w:tabs>
          <w:tab w:val="left" w:pos="553"/>
        </w:tabs>
        <w:spacing w:line="220" w:lineRule="auto"/>
        <w:ind w:left="553" w:right="691" w:hanging="454"/>
      </w:pPr>
      <w:r w:rsidRPr="00311F8C">
        <w:rPr>
          <w:rFonts w:ascii="Segoe UI Symbol" w:hAnsi="Segoe UI Symbol" w:cs="Segoe UI Symbol"/>
          <w:spacing w:val="-10"/>
        </w:rPr>
        <w:t>❏</w:t>
      </w:r>
      <w:r>
        <w:rPr>
          <w:rFonts w:ascii="Engravers MT" w:hAnsi="Engravers MT"/>
        </w:rPr>
        <w:tab/>
      </w:r>
      <w:r>
        <w:t>Collaborate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lived</w:t>
      </w:r>
      <w:r>
        <w:rPr>
          <w:spacing w:val="-4"/>
        </w:rPr>
        <w:t xml:space="preserve"> </w:t>
      </w:r>
      <w:r>
        <w:t>experience,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 xml:space="preserve">youth </w:t>
      </w:r>
      <w:proofErr w:type="spellStart"/>
      <w:r>
        <w:t>organisations</w:t>
      </w:r>
      <w:proofErr w:type="spellEnd"/>
      <w:r>
        <w:t xml:space="preserve"> supporting diverse young people to design engagement activities and approaches. See </w:t>
      </w:r>
      <w:r>
        <w:rPr>
          <w:i/>
        </w:rPr>
        <w:t xml:space="preserve">‘Guide 4: Building Skills for Impact’ </w:t>
      </w:r>
      <w:r>
        <w:t xml:space="preserve">for example </w:t>
      </w:r>
      <w:proofErr w:type="spellStart"/>
      <w:r>
        <w:t>organisations</w:t>
      </w:r>
      <w:proofErr w:type="spellEnd"/>
      <w:r>
        <w:t>.</w:t>
      </w:r>
    </w:p>
    <w:p w14:paraId="0B0B78CD" w14:textId="77777777" w:rsidR="00C035C1" w:rsidRDefault="00C035C1">
      <w:pPr>
        <w:pStyle w:val="BodyText"/>
        <w:spacing w:before="28"/>
      </w:pPr>
    </w:p>
    <w:p w14:paraId="52261555" w14:textId="6BCD70BF" w:rsidR="00C035C1" w:rsidRDefault="00311F8C">
      <w:pPr>
        <w:tabs>
          <w:tab w:val="left" w:pos="553"/>
        </w:tabs>
        <w:spacing w:line="220" w:lineRule="auto"/>
        <w:ind w:left="553" w:right="1053" w:hanging="454"/>
        <w:rPr>
          <w:sz w:val="24"/>
        </w:rPr>
      </w:pPr>
      <w:r w:rsidRPr="00311F8C">
        <w:rPr>
          <w:rFonts w:ascii="Segoe UI Symbol" w:hAnsi="Segoe UI Symbol" w:cs="Segoe UI Symbol"/>
          <w:spacing w:val="-10"/>
          <w:sz w:val="24"/>
        </w:rPr>
        <w:t>❏</w:t>
      </w:r>
      <w:r>
        <w:rPr>
          <w:rFonts w:ascii="Engravers MT" w:hAnsi="Engravers MT"/>
          <w:sz w:val="24"/>
        </w:rPr>
        <w:tab/>
      </w:r>
      <w:r>
        <w:rPr>
          <w:sz w:val="24"/>
        </w:rPr>
        <w:t>Ask</w:t>
      </w:r>
      <w:r>
        <w:rPr>
          <w:spacing w:val="-4"/>
          <w:sz w:val="24"/>
        </w:rPr>
        <w:t xml:space="preserve"> </w:t>
      </w:r>
      <w:r>
        <w:rPr>
          <w:sz w:val="24"/>
        </w:rPr>
        <w:t>young</w:t>
      </w:r>
      <w:r>
        <w:rPr>
          <w:spacing w:val="-4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participate,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dietary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access requirements for face-to-face engagements. See </w:t>
      </w:r>
      <w:r>
        <w:rPr>
          <w:i/>
          <w:sz w:val="24"/>
        </w:rPr>
        <w:t xml:space="preserve">‘Guide 3: Getting Ready to Engage’ </w:t>
      </w:r>
      <w:r>
        <w:rPr>
          <w:sz w:val="24"/>
        </w:rPr>
        <w:t xml:space="preserve">and </w:t>
      </w:r>
      <w:r>
        <w:rPr>
          <w:i/>
          <w:sz w:val="24"/>
        </w:rPr>
        <w:t>‘Guide 5: Ways to Engage’</w:t>
      </w:r>
      <w:r>
        <w:rPr>
          <w:sz w:val="24"/>
        </w:rPr>
        <w:t>, for further advice.</w:t>
      </w:r>
    </w:p>
    <w:p w14:paraId="1A0D34F3" w14:textId="77777777" w:rsidR="00C035C1" w:rsidRDefault="00C035C1">
      <w:pPr>
        <w:pStyle w:val="BodyText"/>
        <w:spacing w:before="27"/>
      </w:pPr>
    </w:p>
    <w:p w14:paraId="07B5044E" w14:textId="0038524D" w:rsidR="00C035C1" w:rsidRDefault="00311F8C">
      <w:pPr>
        <w:pStyle w:val="BodyText"/>
        <w:tabs>
          <w:tab w:val="left" w:pos="553"/>
        </w:tabs>
        <w:spacing w:before="1" w:line="220" w:lineRule="auto"/>
        <w:ind w:left="553" w:right="2215" w:hanging="454"/>
      </w:pPr>
      <w:r w:rsidRPr="00311F8C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Review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guides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with underrepresented groups.</w:t>
      </w:r>
    </w:p>
    <w:p w14:paraId="4672D663" w14:textId="77777777" w:rsidR="00C035C1" w:rsidRDefault="00C035C1">
      <w:pPr>
        <w:pStyle w:val="BodyText"/>
        <w:spacing w:before="7"/>
      </w:pPr>
    </w:p>
    <w:p w14:paraId="3E977AB1" w14:textId="1B71D6CB" w:rsidR="00C035C1" w:rsidRDefault="00311F8C">
      <w:pPr>
        <w:pStyle w:val="BodyText"/>
        <w:tabs>
          <w:tab w:val="left" w:pos="553"/>
        </w:tabs>
        <w:spacing w:line="300" w:lineRule="exact"/>
        <w:ind w:left="100"/>
      </w:pPr>
      <w:r w:rsidRPr="00311F8C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Consider</w:t>
      </w:r>
      <w:r>
        <w:rPr>
          <w:spacing w:val="-6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rPr>
          <w:spacing w:val="-2"/>
        </w:rPr>
        <w:t>with.</w:t>
      </w:r>
    </w:p>
    <w:p w14:paraId="544AB343" w14:textId="77777777" w:rsidR="00C035C1" w:rsidRDefault="00311F8C">
      <w:pPr>
        <w:spacing w:before="8" w:line="220" w:lineRule="auto"/>
        <w:ind w:left="553" w:right="691"/>
        <w:rPr>
          <w:sz w:val="24"/>
        </w:rPr>
      </w:pP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inclusive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language </w:t>
      </w:r>
      <w:hyperlink r:id="rId4">
        <w:r>
          <w:rPr>
            <w:color w:val="0562C0"/>
            <w:sz w:val="24"/>
            <w:u w:val="single" w:color="0562C0"/>
          </w:rPr>
          <w:t>here</w:t>
        </w:r>
      </w:hyperlink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found in the </w:t>
      </w:r>
      <w:r>
        <w:rPr>
          <w:i/>
          <w:sz w:val="24"/>
        </w:rPr>
        <w:t xml:space="preserve">‘Speak to us in a way that makes sense’ </w:t>
      </w:r>
      <w:proofErr w:type="gramStart"/>
      <w:r>
        <w:rPr>
          <w:sz w:val="24"/>
        </w:rPr>
        <w:t>mini-guide</w:t>
      </w:r>
      <w:proofErr w:type="gramEnd"/>
      <w:r>
        <w:rPr>
          <w:sz w:val="24"/>
        </w:rPr>
        <w:t xml:space="preserve">, found in </w:t>
      </w:r>
      <w:r>
        <w:rPr>
          <w:i/>
          <w:sz w:val="24"/>
        </w:rPr>
        <w:t>‘Guide 4’</w:t>
      </w:r>
      <w:r>
        <w:rPr>
          <w:sz w:val="24"/>
        </w:rPr>
        <w:t>.</w:t>
      </w:r>
    </w:p>
    <w:p w14:paraId="50CBFECF" w14:textId="77777777" w:rsidR="00C035C1" w:rsidRDefault="00C035C1">
      <w:pPr>
        <w:pStyle w:val="BodyText"/>
        <w:spacing w:before="7"/>
      </w:pPr>
    </w:p>
    <w:p w14:paraId="3CFB3380" w14:textId="3B38B25C" w:rsidR="00C035C1" w:rsidRDefault="00311F8C">
      <w:pPr>
        <w:pStyle w:val="BodyText"/>
        <w:tabs>
          <w:tab w:val="left" w:pos="553"/>
        </w:tabs>
        <w:spacing w:before="1"/>
        <w:ind w:left="100"/>
      </w:pPr>
      <w:r w:rsidRPr="00311F8C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Use</w:t>
      </w:r>
      <w:r>
        <w:rPr>
          <w:spacing w:val="-4"/>
        </w:rPr>
        <w:t xml:space="preserve"> </w:t>
      </w:r>
      <w:r>
        <w:t>plain</w:t>
      </w:r>
      <w:r>
        <w:rPr>
          <w:spacing w:val="-3"/>
        </w:rPr>
        <w:t xml:space="preserve"> </w:t>
      </w:r>
      <w:r>
        <w:t>English,</w:t>
      </w:r>
      <w:r>
        <w:rPr>
          <w:spacing w:val="-4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jargon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rPr>
          <w:spacing w:val="-2"/>
        </w:rPr>
        <w:t>prompts.</w:t>
      </w:r>
    </w:p>
    <w:p w14:paraId="0BF38959" w14:textId="77777777" w:rsidR="00C035C1" w:rsidRDefault="00C035C1">
      <w:pPr>
        <w:pStyle w:val="BodyText"/>
        <w:spacing w:before="22"/>
      </w:pPr>
    </w:p>
    <w:p w14:paraId="18E8D8A0" w14:textId="1705BB25" w:rsidR="00C035C1" w:rsidRDefault="00311F8C">
      <w:pPr>
        <w:tabs>
          <w:tab w:val="left" w:pos="553"/>
        </w:tabs>
        <w:spacing w:line="220" w:lineRule="auto"/>
        <w:ind w:left="553" w:right="759" w:hanging="454"/>
        <w:rPr>
          <w:sz w:val="24"/>
        </w:rPr>
      </w:pPr>
      <w:r w:rsidRPr="00311F8C">
        <w:rPr>
          <w:rFonts w:ascii="Segoe UI Symbol" w:hAnsi="Segoe UI Symbol" w:cs="Segoe UI Symbol"/>
          <w:spacing w:val="-10"/>
          <w:sz w:val="24"/>
        </w:rPr>
        <w:t>❏</w:t>
      </w:r>
      <w:r>
        <w:rPr>
          <w:rFonts w:ascii="Engravers MT" w:hAnsi="Engravers MT"/>
          <w:sz w:val="24"/>
        </w:rPr>
        <w:tab/>
      </w:r>
      <w:r>
        <w:rPr>
          <w:sz w:val="24"/>
        </w:rPr>
        <w:t>Have we checked our assumptions about young people? (E.g. cultural background, language,</w:t>
      </w:r>
      <w:r>
        <w:rPr>
          <w:spacing w:val="-4"/>
          <w:sz w:val="24"/>
        </w:rPr>
        <w:t xml:space="preserve"> </w:t>
      </w:r>
      <w:r>
        <w:rPr>
          <w:sz w:val="24"/>
        </w:rPr>
        <w:t>abilities,</w:t>
      </w:r>
      <w:r>
        <w:rPr>
          <w:spacing w:val="-4"/>
          <w:sz w:val="24"/>
        </w:rPr>
        <w:t xml:space="preserve"> </w:t>
      </w:r>
      <w:r>
        <w:rPr>
          <w:sz w:val="24"/>
        </w:rPr>
        <w:t>pronouns,</w:t>
      </w:r>
      <w:r>
        <w:rPr>
          <w:spacing w:val="-4"/>
          <w:sz w:val="24"/>
        </w:rPr>
        <w:t xml:space="preserve"> </w:t>
      </w:r>
      <w:r>
        <w:rPr>
          <w:sz w:val="24"/>
        </w:rPr>
        <w:t>gender).</w:t>
      </w:r>
      <w:r>
        <w:rPr>
          <w:spacing w:val="-4"/>
          <w:sz w:val="24"/>
        </w:rPr>
        <w:t xml:space="preserve"> </w:t>
      </w:r>
      <w:r>
        <w:rPr>
          <w:sz w:val="24"/>
        </w:rPr>
        <w:t>See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‘Guide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Getting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Right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Mindset’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more </w:t>
      </w:r>
      <w:r>
        <w:rPr>
          <w:spacing w:val="-2"/>
          <w:sz w:val="24"/>
        </w:rPr>
        <w:t>guidance.</w:t>
      </w:r>
    </w:p>
    <w:p w14:paraId="37CB3BEE" w14:textId="77777777" w:rsidR="00C035C1" w:rsidRDefault="00C035C1">
      <w:pPr>
        <w:pStyle w:val="BodyText"/>
        <w:spacing w:before="27"/>
      </w:pPr>
    </w:p>
    <w:p w14:paraId="0AC6F015" w14:textId="6AC40720" w:rsidR="00C035C1" w:rsidRDefault="00311F8C">
      <w:pPr>
        <w:pStyle w:val="BodyText"/>
        <w:tabs>
          <w:tab w:val="left" w:pos="553"/>
        </w:tabs>
        <w:spacing w:before="1" w:line="220" w:lineRule="auto"/>
        <w:ind w:left="553" w:right="1124" w:hanging="454"/>
      </w:pPr>
      <w:r w:rsidRPr="00311F8C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 xml:space="preserve">Are we good allies to stand </w:t>
      </w:r>
      <w:proofErr w:type="gramStart"/>
      <w:r>
        <w:t>beside,</w:t>
      </w:r>
      <w:proofErr w:type="gramEnd"/>
      <w:r>
        <w:t xml:space="preserve"> uplift and support young people with diverse lived</w:t>
      </w:r>
      <w:r>
        <w:rPr>
          <w:spacing w:val="-5"/>
        </w:rPr>
        <w:t xml:space="preserve"> </w:t>
      </w:r>
      <w:r>
        <w:t>experiences?</w:t>
      </w:r>
      <w:r>
        <w:rPr>
          <w:spacing w:val="-5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 xml:space="preserve">allyship </w:t>
      </w:r>
      <w:hyperlink r:id="rId5">
        <w:r>
          <w:rPr>
            <w:color w:val="0562C0"/>
            <w:u w:val="single" w:color="0562C0"/>
          </w:rPr>
          <w:t>here</w:t>
        </w:r>
      </w:hyperlink>
      <w:r>
        <w:rPr>
          <w:color w:val="0562C0"/>
          <w:u w:val="single" w:color="0562C0"/>
        </w:rPr>
        <w:t>.</w:t>
      </w:r>
    </w:p>
    <w:p w14:paraId="0CF50835" w14:textId="77777777" w:rsidR="00C035C1" w:rsidRDefault="00C035C1">
      <w:pPr>
        <w:pStyle w:val="BodyText"/>
        <w:spacing w:before="27"/>
      </w:pPr>
    </w:p>
    <w:p w14:paraId="2F48A409" w14:textId="3DE39065" w:rsidR="00C035C1" w:rsidRDefault="00311F8C">
      <w:pPr>
        <w:pStyle w:val="BodyText"/>
        <w:tabs>
          <w:tab w:val="left" w:pos="553"/>
        </w:tabs>
        <w:spacing w:line="220" w:lineRule="auto"/>
        <w:ind w:left="553" w:right="682" w:hanging="454"/>
      </w:pPr>
      <w:r w:rsidRPr="00311F8C">
        <w:rPr>
          <w:rFonts w:ascii="Segoe UI Symbol" w:hAnsi="Segoe UI Symbol" w:cs="Segoe UI Symbol"/>
          <w:spacing w:val="-10"/>
        </w:rPr>
        <w:t>❏</w:t>
      </w:r>
      <w:r>
        <w:rPr>
          <w:rFonts w:ascii="Engravers MT"/>
        </w:rPr>
        <w:tab/>
      </w:r>
      <w:r>
        <w:t>Ensure the honorarium/compensation you are providing is appropriate (e.g. if you are providing</w:t>
      </w:r>
      <w:r>
        <w:rPr>
          <w:spacing w:val="-3"/>
        </w:rPr>
        <w:t xml:space="preserve"> </w:t>
      </w:r>
      <w:r>
        <w:t>gift</w:t>
      </w:r>
      <w:r>
        <w:rPr>
          <w:spacing w:val="-3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shops,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use these?). You should consider budgeting to cover costs related to youth participation (e.g. travel, parking, accommodation, catering, gift cards).</w:t>
      </w:r>
    </w:p>
    <w:p w14:paraId="78568137" w14:textId="77777777" w:rsidR="00311F8C" w:rsidRDefault="00311F8C">
      <w:pPr>
        <w:pStyle w:val="BodyText"/>
        <w:tabs>
          <w:tab w:val="left" w:pos="553"/>
        </w:tabs>
        <w:spacing w:line="220" w:lineRule="auto"/>
        <w:ind w:left="553" w:right="682" w:hanging="454"/>
      </w:pPr>
    </w:p>
    <w:p w14:paraId="2FE2DA83" w14:textId="77777777" w:rsidR="00311F8C" w:rsidRDefault="00311F8C">
      <w:pPr>
        <w:pStyle w:val="BodyText"/>
        <w:tabs>
          <w:tab w:val="left" w:pos="553"/>
        </w:tabs>
        <w:spacing w:line="220" w:lineRule="auto"/>
        <w:ind w:left="553" w:right="682" w:hanging="454"/>
      </w:pPr>
    </w:p>
    <w:p w14:paraId="7F4CE862" w14:textId="77777777" w:rsidR="00311F8C" w:rsidRDefault="00311F8C">
      <w:pPr>
        <w:pStyle w:val="BodyText"/>
        <w:tabs>
          <w:tab w:val="left" w:pos="553"/>
        </w:tabs>
        <w:spacing w:line="220" w:lineRule="auto"/>
        <w:ind w:left="553" w:right="682" w:hanging="454"/>
      </w:pPr>
    </w:p>
    <w:p w14:paraId="6303C9D3" w14:textId="77777777" w:rsidR="00311F8C" w:rsidRDefault="00311F8C">
      <w:pPr>
        <w:pStyle w:val="BodyText"/>
        <w:tabs>
          <w:tab w:val="left" w:pos="553"/>
        </w:tabs>
        <w:spacing w:line="220" w:lineRule="auto"/>
        <w:ind w:left="553" w:right="682" w:hanging="454"/>
      </w:pPr>
    </w:p>
    <w:p w14:paraId="17DC1543" w14:textId="77777777" w:rsidR="00311F8C" w:rsidRDefault="00311F8C">
      <w:pPr>
        <w:pStyle w:val="BodyText"/>
        <w:tabs>
          <w:tab w:val="left" w:pos="553"/>
        </w:tabs>
        <w:spacing w:line="220" w:lineRule="auto"/>
        <w:ind w:left="553" w:right="682" w:hanging="454"/>
      </w:pPr>
    </w:p>
    <w:p w14:paraId="10C9AB63" w14:textId="77777777" w:rsidR="00C035C1" w:rsidRDefault="00C035C1">
      <w:pPr>
        <w:pStyle w:val="BodyText"/>
        <w:rPr>
          <w:sz w:val="20"/>
        </w:rPr>
      </w:pPr>
    </w:p>
    <w:p w14:paraId="23C0BEB2" w14:textId="77777777" w:rsidR="00C035C1" w:rsidRDefault="00C035C1">
      <w:pPr>
        <w:pStyle w:val="BodyText"/>
        <w:rPr>
          <w:sz w:val="20"/>
        </w:rPr>
      </w:pPr>
    </w:p>
    <w:p w14:paraId="34608250" w14:textId="77777777" w:rsidR="00C035C1" w:rsidRDefault="00C035C1">
      <w:pPr>
        <w:pStyle w:val="BodyText"/>
        <w:rPr>
          <w:sz w:val="20"/>
        </w:rPr>
      </w:pPr>
    </w:p>
    <w:p w14:paraId="7574141F" w14:textId="77777777" w:rsidR="00C035C1" w:rsidRDefault="00C035C1">
      <w:pPr>
        <w:pStyle w:val="BodyText"/>
        <w:rPr>
          <w:sz w:val="20"/>
        </w:rPr>
      </w:pPr>
    </w:p>
    <w:p w14:paraId="0134DA08" w14:textId="77777777" w:rsidR="00C035C1" w:rsidRDefault="00C035C1">
      <w:pPr>
        <w:pStyle w:val="BodyText"/>
        <w:rPr>
          <w:sz w:val="20"/>
        </w:rPr>
      </w:pPr>
    </w:p>
    <w:p w14:paraId="639D269E" w14:textId="77777777" w:rsidR="00C035C1" w:rsidRDefault="00C035C1">
      <w:pPr>
        <w:pStyle w:val="BodyText"/>
        <w:rPr>
          <w:sz w:val="20"/>
        </w:rPr>
      </w:pPr>
    </w:p>
    <w:p w14:paraId="1EDF60B4" w14:textId="77777777" w:rsidR="00C035C1" w:rsidRDefault="00C035C1">
      <w:pPr>
        <w:pStyle w:val="BodyText"/>
        <w:rPr>
          <w:sz w:val="20"/>
        </w:rPr>
      </w:pPr>
    </w:p>
    <w:p w14:paraId="7A8DAE82" w14:textId="77777777" w:rsidR="00C035C1" w:rsidRDefault="00C035C1">
      <w:pPr>
        <w:pStyle w:val="BodyText"/>
        <w:rPr>
          <w:sz w:val="20"/>
        </w:rPr>
      </w:pPr>
    </w:p>
    <w:p w14:paraId="286C9841" w14:textId="77777777" w:rsidR="00C035C1" w:rsidRDefault="00C035C1">
      <w:pPr>
        <w:pStyle w:val="BodyText"/>
        <w:rPr>
          <w:sz w:val="20"/>
        </w:rPr>
      </w:pPr>
    </w:p>
    <w:p w14:paraId="6919C629" w14:textId="77777777" w:rsidR="00C035C1" w:rsidRDefault="00C035C1">
      <w:pPr>
        <w:pStyle w:val="BodyText"/>
        <w:rPr>
          <w:sz w:val="20"/>
        </w:rPr>
      </w:pPr>
    </w:p>
    <w:p w14:paraId="1CD3F6DA" w14:textId="77777777" w:rsidR="00C035C1" w:rsidRDefault="00C035C1">
      <w:pPr>
        <w:pStyle w:val="BodyText"/>
        <w:rPr>
          <w:sz w:val="20"/>
        </w:rPr>
      </w:pPr>
    </w:p>
    <w:p w14:paraId="0AB1C883" w14:textId="77777777" w:rsidR="00C035C1" w:rsidRDefault="00C035C1">
      <w:pPr>
        <w:pStyle w:val="BodyText"/>
        <w:rPr>
          <w:sz w:val="20"/>
        </w:rPr>
      </w:pPr>
    </w:p>
    <w:p w14:paraId="61660FB9" w14:textId="77777777" w:rsidR="00C035C1" w:rsidRDefault="00C035C1">
      <w:pPr>
        <w:pStyle w:val="BodyText"/>
        <w:rPr>
          <w:sz w:val="20"/>
        </w:rPr>
      </w:pPr>
    </w:p>
    <w:p w14:paraId="237606A6" w14:textId="2B1B37E0" w:rsidR="00C035C1" w:rsidRDefault="00311F8C" w:rsidP="00311F8C">
      <w:pPr>
        <w:pStyle w:val="BodyText"/>
        <w:tabs>
          <w:tab w:val="left" w:pos="2433"/>
        </w:tabs>
        <w:rPr>
          <w:sz w:val="20"/>
        </w:rPr>
      </w:pPr>
      <w:r>
        <w:rPr>
          <w:sz w:val="20"/>
        </w:rPr>
        <w:tab/>
      </w:r>
    </w:p>
    <w:p w14:paraId="01E9CB00" w14:textId="77777777" w:rsidR="00C035C1" w:rsidRDefault="00C035C1">
      <w:pPr>
        <w:pStyle w:val="BodyText"/>
        <w:rPr>
          <w:sz w:val="20"/>
        </w:rPr>
      </w:pPr>
    </w:p>
    <w:p w14:paraId="011D776D" w14:textId="77777777" w:rsidR="00C035C1" w:rsidRDefault="00C035C1">
      <w:pPr>
        <w:pStyle w:val="BodyText"/>
        <w:rPr>
          <w:sz w:val="20"/>
        </w:rPr>
      </w:pPr>
    </w:p>
    <w:p w14:paraId="627B3B75" w14:textId="77777777" w:rsidR="00C035C1" w:rsidRDefault="00C035C1">
      <w:pPr>
        <w:pStyle w:val="BodyText"/>
        <w:spacing w:before="224"/>
        <w:rPr>
          <w:sz w:val="20"/>
        </w:rPr>
      </w:pPr>
    </w:p>
    <w:p w14:paraId="2CA4E472" w14:textId="77777777" w:rsidR="00C035C1" w:rsidRDefault="00311F8C">
      <w:pPr>
        <w:pStyle w:val="BodyText"/>
        <w:spacing w:line="20" w:lineRule="exact"/>
        <w:ind w:left="-1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75C499" wp14:editId="6D147706">
                <wp:extent cx="6958965" cy="6350"/>
                <wp:effectExtent l="9525" t="0" r="0" b="317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6350"/>
                          <a:chOff x="0" y="0"/>
                          <a:chExt cx="6958965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75"/>
                            <a:ext cx="6958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8965">
                                <a:moveTo>
                                  <a:pt x="0" y="0"/>
                                </a:moveTo>
                                <a:lnTo>
                                  <a:pt x="695879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27237" id="Group 2" o:spid="_x0000_s1026" alt="&quot;&quot;" style="width:547.95pt;height:.5pt;mso-position-horizontal-relative:char;mso-position-vertical-relative:line" coordsize="695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">
                <v:shape id="Graphic 3" o:spid="_x0000_s1027" style="position:absolute;top:31;width:69589;height:13;visibility:visible;mso-wrap-style:square;v-text-anchor:top" coordsize="6958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" path="m,l6958799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4CDCB431" w14:textId="77777777" w:rsidR="00C035C1" w:rsidRDefault="00C035C1">
      <w:pPr>
        <w:pStyle w:val="BodyText"/>
        <w:spacing w:before="97"/>
        <w:rPr>
          <w:sz w:val="20"/>
        </w:rPr>
      </w:pPr>
    </w:p>
    <w:p w14:paraId="49F9A048" w14:textId="77777777" w:rsidR="00C035C1" w:rsidRDefault="00311F8C">
      <w:pPr>
        <w:spacing w:before="1"/>
        <w:ind w:right="99"/>
        <w:jc w:val="right"/>
        <w:rPr>
          <w:rFonts w:ascii="Space Grotesk"/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5810A8D" wp14:editId="452708BB">
            <wp:simplePos x="0" y="0"/>
            <wp:positionH relativeFrom="page">
              <wp:posOffset>295207</wp:posOffset>
            </wp:positionH>
            <wp:positionV relativeFrom="paragraph">
              <wp:posOffset>-88959</wp:posOffset>
            </wp:positionV>
            <wp:extent cx="730117" cy="235612"/>
            <wp:effectExtent l="0" t="0" r="0" b="0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17" cy="235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pace Grotesk"/>
          <w:b/>
          <w:spacing w:val="-10"/>
          <w:sz w:val="20"/>
        </w:rPr>
        <w:t>1</w:t>
      </w:r>
    </w:p>
    <w:sectPr w:rsidR="00C035C1">
      <w:type w:val="continuous"/>
      <w:pgSz w:w="11910" w:h="16840"/>
      <w:pgMar w:top="620" w:right="38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Rubik Black">
    <w:altName w:val="Rubik Black"/>
    <w:panose1 w:val="00000000000000000000"/>
    <w:charset w:val="00"/>
    <w:family w:val="auto"/>
    <w:pitch w:val="variable"/>
    <w:sig w:usb0="A0002A6F" w:usb1="C000205B" w:usb2="00000000" w:usb3="00000000" w:csb0="000000F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pace Grotesk">
    <w:altName w:val="Space Grotesk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5C1"/>
    <w:rsid w:val="002430B1"/>
    <w:rsid w:val="00311F8C"/>
    <w:rsid w:val="00C035C1"/>
    <w:rsid w:val="00F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FB7DB"/>
  <w15:docId w15:val="{BD473694-6357-40C8-99DA-988D86F9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arla" w:eastAsia="Karla" w:hAnsi="Karla" w:cs="Kar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9"/>
      <w:ind w:left="100" w:right="1834"/>
    </w:pPr>
    <w:rPr>
      <w:rFonts w:ascii="Rubik Black" w:eastAsia="Rubik Black" w:hAnsi="Rubik Black" w:cs="Rubik Black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yacvic.org.au/yerp/diversity-equity-inclusion/youth-worker-allyship/" TargetMode="External"/><Relationship Id="rId4" Type="http://schemas.openxmlformats.org/officeDocument/2006/relationships/hyperlink" Target="https://www.yacvic.org.au/yerp/diversity-equity-inclusion/inclusive-langu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MOIR,Reece</cp:lastModifiedBy>
  <cp:revision>3</cp:revision>
  <dcterms:created xsi:type="dcterms:W3CDTF">2024-11-25T02:46:00Z</dcterms:created>
  <dcterms:modified xsi:type="dcterms:W3CDTF">2024-12-02T03:18:00Z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2024-11-25T00:00:00Z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59f389c9a66d0b59ee9ba216b343eb0ac99f4550a497dba64feeee6de0790363</vt:lpwstr>
  </property>
  <property fmtid="{D5CDD505-2E9C-101B-9397-08002B2CF9AE}" pid="7" name="MSIP_Label_79d889eb-932f-4752-8739-64d25806ef64_Enabled">
    <vt:lpwstr>true</vt:lpwstr>
  </property>
  <property fmtid="{D5CDD505-2E9C-101B-9397-08002B2CF9AE}" pid="8" name="MSIP_Label_79d889eb-932f-4752-8739-64d25806ef64_SetDate">
    <vt:lpwstr>2024-12-02T03:18:27Z</vt:lpwstr>
  </property>
  <property fmtid="{D5CDD505-2E9C-101B-9397-08002B2CF9AE}" pid="9" name="MSIP_Label_79d889eb-932f-4752-8739-64d25806ef64_Method">
    <vt:lpwstr>Privileged</vt:lpwstr>
  </property>
  <property fmtid="{D5CDD505-2E9C-101B-9397-08002B2CF9AE}" pid="10" name="MSIP_Label_79d889eb-932f-4752-8739-64d25806ef64_Name">
    <vt:lpwstr>79d889eb-932f-4752-8739-64d25806ef64</vt:lpwstr>
  </property>
  <property fmtid="{D5CDD505-2E9C-101B-9397-08002B2CF9AE}" pid="11" name="MSIP_Label_79d889eb-932f-4752-8739-64d25806ef64_SiteId">
    <vt:lpwstr>dd0cfd15-4558-4b12-8bad-ea26984fc417</vt:lpwstr>
  </property>
  <property fmtid="{D5CDD505-2E9C-101B-9397-08002B2CF9AE}" pid="12" name="MSIP_Label_79d889eb-932f-4752-8739-64d25806ef64_ActionId">
    <vt:lpwstr>3e549bcc-24de-404f-8695-bd92e555566a</vt:lpwstr>
  </property>
  <property fmtid="{D5CDD505-2E9C-101B-9397-08002B2CF9AE}" pid="13" name="MSIP_Label_79d889eb-932f-4752-8739-64d25806ef64_ContentBits">
    <vt:lpwstr>0</vt:lpwstr>
  </property>
</Properties>
</file>