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72E8C" w14:textId="77777777" w:rsidR="00C035C1" w:rsidRDefault="00311F8C">
      <w:pPr>
        <w:pStyle w:val="Title"/>
        <w:spacing w:line="187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0886B3E4" wp14:editId="1320D1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D4B0A" id="Graphic 1" o:spid="_x0000_s1026" alt="&quot;&quot;" style="position:absolute;margin-left:0;margin-top:0;width:595.3pt;height:841.9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ACCESSIBILITY</w:t>
      </w:r>
      <w:r>
        <w:rPr>
          <w:spacing w:val="-19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INCLUSION</w:t>
      </w:r>
      <w:r>
        <w:rPr>
          <w:spacing w:val="-17"/>
        </w:rPr>
        <w:t xml:space="preserve"> </w:t>
      </w:r>
      <w:r>
        <w:t xml:space="preserve">SAFEGUARDING </w:t>
      </w:r>
      <w:r>
        <w:rPr>
          <w:spacing w:val="-2"/>
        </w:rPr>
        <w:t>CHECKLIST</w:t>
      </w:r>
    </w:p>
    <w:p w14:paraId="7A71AD03" w14:textId="6656A912" w:rsidR="00C035C1" w:rsidRDefault="00311F8C">
      <w:pPr>
        <w:tabs>
          <w:tab w:val="left" w:pos="553"/>
        </w:tabs>
        <w:spacing w:before="252" w:line="300" w:lineRule="exact"/>
        <w:ind w:left="100"/>
        <w:rPr>
          <w:sz w:val="24"/>
        </w:rPr>
      </w:pPr>
      <w:r w:rsidRPr="00311F8C"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="Engravers MT" w:hAnsi="Engravers MT"/>
          <w:sz w:val="24"/>
        </w:rPr>
        <w:tab/>
      </w:r>
      <w:r>
        <w:rPr>
          <w:i/>
          <w:sz w:val="24"/>
        </w:rPr>
        <w:t>‘Reflect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influence’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indirectly</w:t>
      </w:r>
      <w:r>
        <w:rPr>
          <w:spacing w:val="-5"/>
          <w:sz w:val="24"/>
        </w:rPr>
        <w:t xml:space="preserve"> </w:t>
      </w:r>
      <w:r>
        <w:rPr>
          <w:sz w:val="24"/>
        </w:rPr>
        <w:t>disadvantages</w:t>
      </w:r>
      <w:r>
        <w:rPr>
          <w:spacing w:val="-5"/>
          <w:sz w:val="24"/>
        </w:rPr>
        <w:t xml:space="preserve"> </w:t>
      </w:r>
      <w:r>
        <w:rPr>
          <w:sz w:val="24"/>
        </w:rPr>
        <w:t>others.</w:t>
      </w:r>
      <w:r>
        <w:rPr>
          <w:spacing w:val="-4"/>
          <w:sz w:val="24"/>
        </w:rPr>
        <w:t xml:space="preserve"> Learn</w:t>
      </w:r>
    </w:p>
    <w:p w14:paraId="76074B8A" w14:textId="77777777" w:rsidR="00C035C1" w:rsidRDefault="00311F8C">
      <w:pPr>
        <w:spacing w:line="300" w:lineRule="exact"/>
        <w:ind w:left="553"/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influence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‘Guide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Getting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Right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Mindset’</w:t>
      </w:r>
      <w:r>
        <w:rPr>
          <w:spacing w:val="-2"/>
          <w:sz w:val="24"/>
        </w:rPr>
        <w:t>.</w:t>
      </w:r>
    </w:p>
    <w:p w14:paraId="10E9EC4A" w14:textId="77777777" w:rsidR="00C035C1" w:rsidRDefault="00C035C1">
      <w:pPr>
        <w:pStyle w:val="BodyText"/>
        <w:spacing w:before="22"/>
      </w:pPr>
    </w:p>
    <w:p w14:paraId="791A8FCC" w14:textId="13BB86AA" w:rsidR="00C035C1" w:rsidRDefault="00311F8C">
      <w:pPr>
        <w:pStyle w:val="BodyText"/>
        <w:tabs>
          <w:tab w:val="left" w:pos="553"/>
        </w:tabs>
        <w:spacing w:line="220" w:lineRule="auto"/>
        <w:ind w:left="553" w:right="691" w:hanging="454"/>
      </w:pPr>
      <w:r w:rsidRPr="00311F8C">
        <w:rPr>
          <w:rFonts w:ascii="Segoe UI Symbol" w:hAnsi="Segoe UI Symbol" w:cs="Segoe UI Symbol"/>
          <w:spacing w:val="-10"/>
        </w:rPr>
        <w:t>❏</w:t>
      </w:r>
      <w:r>
        <w:rPr>
          <w:rFonts w:ascii="Engravers MT" w:hAnsi="Engravers MT"/>
        </w:rPr>
        <w:tab/>
      </w:r>
      <w:r>
        <w:t>Collaborate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lived</w:t>
      </w:r>
      <w:r>
        <w:rPr>
          <w:spacing w:val="-4"/>
        </w:rPr>
        <w:t xml:space="preserve"> </w:t>
      </w:r>
      <w:r>
        <w:t>experience,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 xml:space="preserve">youth </w:t>
      </w:r>
      <w:proofErr w:type="spellStart"/>
      <w:r>
        <w:t>organisations</w:t>
      </w:r>
      <w:proofErr w:type="spellEnd"/>
      <w:r>
        <w:t xml:space="preserve"> supporting diverse young people to design engagement activities and approaches. See </w:t>
      </w:r>
      <w:r>
        <w:rPr>
          <w:i/>
        </w:rPr>
        <w:t xml:space="preserve">‘Guide 4: Building Skills for Impact’ </w:t>
      </w:r>
      <w:r>
        <w:t xml:space="preserve">for example </w:t>
      </w:r>
      <w:proofErr w:type="spellStart"/>
      <w:r>
        <w:t>organisations</w:t>
      </w:r>
      <w:proofErr w:type="spellEnd"/>
      <w:r>
        <w:t>.</w:t>
      </w:r>
    </w:p>
    <w:p w14:paraId="0B0B78CD" w14:textId="77777777" w:rsidR="00C035C1" w:rsidRDefault="00C035C1">
      <w:pPr>
        <w:pStyle w:val="BodyText"/>
        <w:spacing w:before="28"/>
      </w:pPr>
    </w:p>
    <w:p w14:paraId="52261555" w14:textId="6BCD70BF" w:rsidR="00C035C1" w:rsidRDefault="00311F8C">
      <w:pPr>
        <w:tabs>
          <w:tab w:val="left" w:pos="553"/>
        </w:tabs>
        <w:spacing w:line="220" w:lineRule="auto"/>
        <w:ind w:left="553" w:right="1053" w:hanging="454"/>
        <w:rPr>
          <w:sz w:val="24"/>
        </w:rPr>
      </w:pPr>
      <w:r w:rsidRPr="00311F8C"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="Engravers MT" w:hAnsi="Engravers MT"/>
          <w:sz w:val="24"/>
        </w:rPr>
        <w:tab/>
      </w: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dietary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access requirements for face-to-face engagements. See </w:t>
      </w:r>
      <w:r>
        <w:rPr>
          <w:i/>
          <w:sz w:val="24"/>
        </w:rPr>
        <w:t xml:space="preserve">‘Guide 3: Getting Ready to Engage’ </w:t>
      </w:r>
      <w:r>
        <w:rPr>
          <w:sz w:val="24"/>
        </w:rPr>
        <w:t xml:space="preserve">and </w:t>
      </w:r>
      <w:r>
        <w:rPr>
          <w:i/>
          <w:sz w:val="24"/>
        </w:rPr>
        <w:t>‘Guide 5: Ways to Engage’</w:t>
      </w:r>
      <w:r>
        <w:rPr>
          <w:sz w:val="24"/>
        </w:rPr>
        <w:t>, for further advice.</w:t>
      </w:r>
    </w:p>
    <w:p w14:paraId="1A0D34F3" w14:textId="77777777" w:rsidR="00C035C1" w:rsidRDefault="00C035C1">
      <w:pPr>
        <w:pStyle w:val="BodyText"/>
        <w:spacing w:before="27"/>
      </w:pPr>
    </w:p>
    <w:p w14:paraId="07B5044E" w14:textId="0038524D" w:rsidR="00C035C1" w:rsidRDefault="00311F8C">
      <w:pPr>
        <w:pStyle w:val="BodyText"/>
        <w:tabs>
          <w:tab w:val="left" w:pos="553"/>
        </w:tabs>
        <w:spacing w:before="1" w:line="220" w:lineRule="auto"/>
        <w:ind w:left="553" w:right="2215" w:hanging="454"/>
      </w:pPr>
      <w:r w:rsidRPr="00311F8C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Review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guides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with underrepresented groups.</w:t>
      </w:r>
    </w:p>
    <w:p w14:paraId="4672D663" w14:textId="77777777" w:rsidR="00C035C1" w:rsidRDefault="00C035C1">
      <w:pPr>
        <w:pStyle w:val="BodyText"/>
        <w:spacing w:before="7"/>
      </w:pPr>
    </w:p>
    <w:p w14:paraId="3E977AB1" w14:textId="1B71D6CB" w:rsidR="00C035C1" w:rsidRDefault="00311F8C">
      <w:pPr>
        <w:pStyle w:val="BodyText"/>
        <w:tabs>
          <w:tab w:val="left" w:pos="553"/>
        </w:tabs>
        <w:spacing w:line="300" w:lineRule="exact"/>
        <w:ind w:left="100"/>
      </w:pPr>
      <w:r w:rsidRPr="00311F8C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Consider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rPr>
          <w:spacing w:val="-2"/>
        </w:rPr>
        <w:t>with.</w:t>
      </w:r>
    </w:p>
    <w:p w14:paraId="544AB343" w14:textId="77777777" w:rsidR="00C035C1" w:rsidRDefault="00311F8C">
      <w:pPr>
        <w:spacing w:before="8" w:line="220" w:lineRule="auto"/>
        <w:ind w:left="553" w:right="691"/>
        <w:rPr>
          <w:sz w:val="24"/>
        </w:rPr>
      </w:pP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inclusive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language </w:t>
      </w:r>
      <w:hyperlink r:id="rId4">
        <w:r>
          <w:rPr>
            <w:color w:val="0562C0"/>
            <w:sz w:val="24"/>
            <w:u w:val="single" w:color="0562C0"/>
          </w:rPr>
          <w:t>here</w:t>
        </w:r>
      </w:hyperlink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 found in the </w:t>
      </w:r>
      <w:r>
        <w:rPr>
          <w:i/>
          <w:sz w:val="24"/>
        </w:rPr>
        <w:t xml:space="preserve">‘Speak to us in a way that makes sense’ </w:t>
      </w:r>
      <w:proofErr w:type="gramStart"/>
      <w:r>
        <w:rPr>
          <w:sz w:val="24"/>
        </w:rPr>
        <w:t>mini-guide</w:t>
      </w:r>
      <w:proofErr w:type="gramEnd"/>
      <w:r>
        <w:rPr>
          <w:sz w:val="24"/>
        </w:rPr>
        <w:t xml:space="preserve">, found in </w:t>
      </w:r>
      <w:r>
        <w:rPr>
          <w:i/>
          <w:sz w:val="24"/>
        </w:rPr>
        <w:t>‘Guide 4’</w:t>
      </w:r>
      <w:r>
        <w:rPr>
          <w:sz w:val="24"/>
        </w:rPr>
        <w:t>.</w:t>
      </w:r>
    </w:p>
    <w:p w14:paraId="50CBFECF" w14:textId="77777777" w:rsidR="00C035C1" w:rsidRDefault="00C035C1">
      <w:pPr>
        <w:pStyle w:val="BodyText"/>
        <w:spacing w:before="7"/>
      </w:pPr>
    </w:p>
    <w:p w14:paraId="3CFB3380" w14:textId="3B38B25C" w:rsidR="00C035C1" w:rsidRDefault="00311F8C">
      <w:pPr>
        <w:pStyle w:val="BodyText"/>
        <w:tabs>
          <w:tab w:val="left" w:pos="553"/>
        </w:tabs>
        <w:spacing w:before="1"/>
        <w:ind w:left="100"/>
      </w:pPr>
      <w:r w:rsidRPr="00311F8C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Use</w:t>
      </w:r>
      <w:r>
        <w:rPr>
          <w:spacing w:val="-4"/>
        </w:rPr>
        <w:t xml:space="preserve"> </w:t>
      </w:r>
      <w:r>
        <w:t>plain</w:t>
      </w:r>
      <w:r>
        <w:rPr>
          <w:spacing w:val="-3"/>
        </w:rPr>
        <w:t xml:space="preserve"> </w:t>
      </w:r>
      <w:r>
        <w:t>English,</w:t>
      </w:r>
      <w:r>
        <w:rPr>
          <w:spacing w:val="-4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jargon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rPr>
          <w:spacing w:val="-2"/>
        </w:rPr>
        <w:t>prompts.</w:t>
      </w:r>
    </w:p>
    <w:p w14:paraId="0BF38959" w14:textId="77777777" w:rsidR="00C035C1" w:rsidRDefault="00C035C1">
      <w:pPr>
        <w:pStyle w:val="BodyText"/>
        <w:spacing w:before="22"/>
      </w:pPr>
    </w:p>
    <w:p w14:paraId="18E8D8A0" w14:textId="1705BB25" w:rsidR="00C035C1" w:rsidRDefault="00311F8C">
      <w:pPr>
        <w:tabs>
          <w:tab w:val="left" w:pos="553"/>
        </w:tabs>
        <w:spacing w:line="220" w:lineRule="auto"/>
        <w:ind w:left="553" w:right="759" w:hanging="454"/>
        <w:rPr>
          <w:sz w:val="24"/>
        </w:rPr>
      </w:pPr>
      <w:r w:rsidRPr="00311F8C"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="Engravers MT" w:hAnsi="Engravers MT"/>
          <w:sz w:val="24"/>
        </w:rPr>
        <w:tab/>
      </w:r>
      <w:r>
        <w:rPr>
          <w:sz w:val="24"/>
        </w:rPr>
        <w:t>Have we checked our assumptions about young people? (E.g. cultural background, language,</w:t>
      </w:r>
      <w:r>
        <w:rPr>
          <w:spacing w:val="-4"/>
          <w:sz w:val="24"/>
        </w:rPr>
        <w:t xml:space="preserve"> </w:t>
      </w:r>
      <w:r>
        <w:rPr>
          <w:sz w:val="24"/>
        </w:rPr>
        <w:t>abilities,</w:t>
      </w:r>
      <w:r>
        <w:rPr>
          <w:spacing w:val="-4"/>
          <w:sz w:val="24"/>
        </w:rPr>
        <w:t xml:space="preserve"> </w:t>
      </w:r>
      <w:r>
        <w:rPr>
          <w:sz w:val="24"/>
        </w:rPr>
        <w:t>pronouns,</w:t>
      </w:r>
      <w:r>
        <w:rPr>
          <w:spacing w:val="-4"/>
          <w:sz w:val="24"/>
        </w:rPr>
        <w:t xml:space="preserve"> </w:t>
      </w:r>
      <w:r>
        <w:rPr>
          <w:sz w:val="24"/>
        </w:rPr>
        <w:t>gender).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‘Guide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Getting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Right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Mindset’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more </w:t>
      </w:r>
      <w:r>
        <w:rPr>
          <w:spacing w:val="-2"/>
          <w:sz w:val="24"/>
        </w:rPr>
        <w:t>guidance.</w:t>
      </w:r>
    </w:p>
    <w:p w14:paraId="37CB3BEE" w14:textId="77777777" w:rsidR="00C035C1" w:rsidRDefault="00C035C1">
      <w:pPr>
        <w:pStyle w:val="BodyText"/>
        <w:spacing w:before="27"/>
      </w:pPr>
    </w:p>
    <w:p w14:paraId="0AC6F015" w14:textId="6AC40720" w:rsidR="00C035C1" w:rsidRDefault="00311F8C">
      <w:pPr>
        <w:pStyle w:val="BodyText"/>
        <w:tabs>
          <w:tab w:val="left" w:pos="553"/>
        </w:tabs>
        <w:spacing w:before="1" w:line="220" w:lineRule="auto"/>
        <w:ind w:left="553" w:right="1124" w:hanging="454"/>
      </w:pPr>
      <w:r w:rsidRPr="00311F8C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 xml:space="preserve">Are we good allies to stand </w:t>
      </w:r>
      <w:proofErr w:type="gramStart"/>
      <w:r>
        <w:t>beside,</w:t>
      </w:r>
      <w:proofErr w:type="gramEnd"/>
      <w:r>
        <w:t xml:space="preserve"> uplift and support young people with diverse lived</w:t>
      </w:r>
      <w:r>
        <w:rPr>
          <w:spacing w:val="-5"/>
        </w:rPr>
        <w:t xml:space="preserve"> </w:t>
      </w:r>
      <w:r>
        <w:t>experiences?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 xml:space="preserve">allyship </w:t>
      </w:r>
      <w:hyperlink r:id="rId5">
        <w:r>
          <w:rPr>
            <w:color w:val="0562C0"/>
            <w:u w:val="single" w:color="0562C0"/>
          </w:rPr>
          <w:t>here</w:t>
        </w:r>
      </w:hyperlink>
      <w:r>
        <w:rPr>
          <w:color w:val="0562C0"/>
          <w:u w:val="single" w:color="0562C0"/>
        </w:rPr>
        <w:t>.</w:t>
      </w:r>
    </w:p>
    <w:p w14:paraId="0CF50835" w14:textId="77777777" w:rsidR="00C035C1" w:rsidRDefault="00C035C1">
      <w:pPr>
        <w:pStyle w:val="BodyText"/>
        <w:spacing w:before="27"/>
      </w:pPr>
    </w:p>
    <w:p w14:paraId="2F48A409" w14:textId="3DE39065" w:rsidR="00C035C1" w:rsidRDefault="00311F8C">
      <w:pPr>
        <w:pStyle w:val="BodyText"/>
        <w:tabs>
          <w:tab w:val="left" w:pos="553"/>
        </w:tabs>
        <w:spacing w:line="220" w:lineRule="auto"/>
        <w:ind w:left="553" w:right="682" w:hanging="454"/>
      </w:pPr>
      <w:r w:rsidRPr="00311F8C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Ensure the honorarium/compensation you are providing is appropriate (e.g. if you are providing</w:t>
      </w:r>
      <w:r>
        <w:rPr>
          <w:spacing w:val="-3"/>
        </w:rPr>
        <w:t xml:space="preserve"> </w:t>
      </w:r>
      <w:r>
        <w:t>gift</w:t>
      </w:r>
      <w:r>
        <w:rPr>
          <w:spacing w:val="-3"/>
        </w:rPr>
        <w:t xml:space="preserve"> </w:t>
      </w:r>
      <w:r>
        <w:t>cards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shops,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 use these?). You should consider budgeting to cover costs related to youth participation (e.g. travel, parking, accommodation, catering, gift cards).</w:t>
      </w:r>
    </w:p>
    <w:p w14:paraId="78568137" w14:textId="77777777" w:rsidR="00311F8C" w:rsidRDefault="00311F8C">
      <w:pPr>
        <w:pStyle w:val="BodyText"/>
        <w:tabs>
          <w:tab w:val="left" w:pos="553"/>
        </w:tabs>
        <w:spacing w:line="220" w:lineRule="auto"/>
        <w:ind w:left="553" w:right="682" w:hanging="454"/>
      </w:pPr>
    </w:p>
    <w:p w14:paraId="2FE2DA83" w14:textId="77777777" w:rsidR="00311F8C" w:rsidRDefault="00311F8C">
      <w:pPr>
        <w:pStyle w:val="BodyText"/>
        <w:tabs>
          <w:tab w:val="left" w:pos="553"/>
        </w:tabs>
        <w:spacing w:line="220" w:lineRule="auto"/>
        <w:ind w:left="553" w:right="682" w:hanging="454"/>
      </w:pPr>
    </w:p>
    <w:p w14:paraId="7F4CE862" w14:textId="77777777" w:rsidR="00311F8C" w:rsidRDefault="00311F8C">
      <w:pPr>
        <w:pStyle w:val="BodyText"/>
        <w:tabs>
          <w:tab w:val="left" w:pos="553"/>
        </w:tabs>
        <w:spacing w:line="220" w:lineRule="auto"/>
        <w:ind w:left="553" w:right="682" w:hanging="454"/>
      </w:pPr>
    </w:p>
    <w:p w14:paraId="6303C9D3" w14:textId="77777777" w:rsidR="00311F8C" w:rsidRDefault="00311F8C">
      <w:pPr>
        <w:pStyle w:val="BodyText"/>
        <w:tabs>
          <w:tab w:val="left" w:pos="553"/>
        </w:tabs>
        <w:spacing w:line="220" w:lineRule="auto"/>
        <w:ind w:left="553" w:right="682" w:hanging="454"/>
      </w:pPr>
    </w:p>
    <w:p w14:paraId="17DC1543" w14:textId="77777777" w:rsidR="00311F8C" w:rsidRDefault="00311F8C">
      <w:pPr>
        <w:pStyle w:val="BodyText"/>
        <w:tabs>
          <w:tab w:val="left" w:pos="553"/>
        </w:tabs>
        <w:spacing w:line="220" w:lineRule="auto"/>
        <w:ind w:left="553" w:right="682" w:hanging="454"/>
      </w:pPr>
    </w:p>
    <w:p w14:paraId="10C9AB63" w14:textId="77777777" w:rsidR="00C035C1" w:rsidRDefault="00C035C1">
      <w:pPr>
        <w:pStyle w:val="BodyText"/>
        <w:rPr>
          <w:sz w:val="20"/>
        </w:rPr>
      </w:pPr>
    </w:p>
    <w:p w14:paraId="23C0BEB2" w14:textId="77777777" w:rsidR="00C035C1" w:rsidRDefault="00C035C1">
      <w:pPr>
        <w:pStyle w:val="BodyText"/>
        <w:rPr>
          <w:sz w:val="20"/>
        </w:rPr>
      </w:pPr>
    </w:p>
    <w:p w14:paraId="34608250" w14:textId="77777777" w:rsidR="00C035C1" w:rsidRDefault="00C035C1">
      <w:pPr>
        <w:pStyle w:val="BodyText"/>
        <w:rPr>
          <w:sz w:val="20"/>
        </w:rPr>
      </w:pPr>
    </w:p>
    <w:p w14:paraId="7574141F" w14:textId="77777777" w:rsidR="00C035C1" w:rsidRDefault="00C035C1">
      <w:pPr>
        <w:pStyle w:val="BodyText"/>
        <w:rPr>
          <w:sz w:val="20"/>
        </w:rPr>
      </w:pPr>
    </w:p>
    <w:p w14:paraId="0134DA08" w14:textId="77777777" w:rsidR="00C035C1" w:rsidRDefault="00C035C1">
      <w:pPr>
        <w:pStyle w:val="BodyText"/>
        <w:rPr>
          <w:sz w:val="20"/>
        </w:rPr>
      </w:pPr>
    </w:p>
    <w:p w14:paraId="639D269E" w14:textId="77777777" w:rsidR="00C035C1" w:rsidRDefault="00C035C1">
      <w:pPr>
        <w:pStyle w:val="BodyText"/>
        <w:rPr>
          <w:sz w:val="20"/>
        </w:rPr>
      </w:pPr>
    </w:p>
    <w:p w14:paraId="1EDF60B4" w14:textId="77777777" w:rsidR="00C035C1" w:rsidRDefault="00C035C1">
      <w:pPr>
        <w:pStyle w:val="BodyText"/>
        <w:rPr>
          <w:sz w:val="20"/>
        </w:rPr>
      </w:pPr>
    </w:p>
    <w:p w14:paraId="7A8DAE82" w14:textId="77777777" w:rsidR="00C035C1" w:rsidRDefault="00C035C1">
      <w:pPr>
        <w:pStyle w:val="BodyText"/>
        <w:rPr>
          <w:sz w:val="20"/>
        </w:rPr>
      </w:pPr>
    </w:p>
    <w:p w14:paraId="286C9841" w14:textId="77777777" w:rsidR="00C035C1" w:rsidRDefault="00C035C1">
      <w:pPr>
        <w:pStyle w:val="BodyText"/>
        <w:rPr>
          <w:sz w:val="20"/>
        </w:rPr>
      </w:pPr>
    </w:p>
    <w:p w14:paraId="6919C629" w14:textId="77777777" w:rsidR="00C035C1" w:rsidRDefault="00C035C1">
      <w:pPr>
        <w:pStyle w:val="BodyText"/>
        <w:rPr>
          <w:sz w:val="20"/>
        </w:rPr>
      </w:pPr>
    </w:p>
    <w:p w14:paraId="1CD3F6DA" w14:textId="77777777" w:rsidR="00C035C1" w:rsidRDefault="00C035C1">
      <w:pPr>
        <w:pStyle w:val="BodyText"/>
        <w:rPr>
          <w:sz w:val="20"/>
        </w:rPr>
      </w:pPr>
    </w:p>
    <w:p w14:paraId="0AB1C883" w14:textId="77777777" w:rsidR="00C035C1" w:rsidRDefault="00C035C1">
      <w:pPr>
        <w:pStyle w:val="BodyText"/>
        <w:rPr>
          <w:sz w:val="20"/>
        </w:rPr>
      </w:pPr>
    </w:p>
    <w:p w14:paraId="61660FB9" w14:textId="77777777" w:rsidR="00C035C1" w:rsidRDefault="00C035C1">
      <w:pPr>
        <w:pStyle w:val="BodyText"/>
        <w:rPr>
          <w:sz w:val="20"/>
        </w:rPr>
      </w:pPr>
    </w:p>
    <w:p w14:paraId="237606A6" w14:textId="2B1B37E0" w:rsidR="00C035C1" w:rsidRDefault="00311F8C" w:rsidP="00311F8C">
      <w:pPr>
        <w:pStyle w:val="BodyText"/>
        <w:tabs>
          <w:tab w:val="left" w:pos="2433"/>
        </w:tabs>
        <w:rPr>
          <w:sz w:val="20"/>
        </w:rPr>
      </w:pPr>
      <w:r>
        <w:rPr>
          <w:sz w:val="20"/>
        </w:rPr>
        <w:tab/>
      </w:r>
    </w:p>
    <w:p w14:paraId="01E9CB00" w14:textId="77777777" w:rsidR="00C035C1" w:rsidRDefault="00C035C1">
      <w:pPr>
        <w:pStyle w:val="BodyText"/>
        <w:rPr>
          <w:sz w:val="20"/>
        </w:rPr>
      </w:pPr>
    </w:p>
    <w:p w14:paraId="011D776D" w14:textId="77777777" w:rsidR="00C035C1" w:rsidRDefault="00C035C1">
      <w:pPr>
        <w:pStyle w:val="BodyText"/>
        <w:rPr>
          <w:sz w:val="20"/>
        </w:rPr>
      </w:pPr>
    </w:p>
    <w:p w14:paraId="627B3B75" w14:textId="77777777" w:rsidR="00C035C1" w:rsidRDefault="00C035C1">
      <w:pPr>
        <w:pStyle w:val="BodyText"/>
        <w:spacing w:before="224"/>
        <w:rPr>
          <w:sz w:val="20"/>
        </w:rPr>
      </w:pPr>
    </w:p>
    <w:p w14:paraId="2CA4E472" w14:textId="77777777" w:rsidR="00C035C1" w:rsidRDefault="00311F8C">
      <w:pPr>
        <w:pStyle w:val="BodyText"/>
        <w:spacing w:line="20" w:lineRule="exact"/>
        <w:ind w:left="-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75C499" wp14:editId="6D147706">
                <wp:extent cx="6958965" cy="6350"/>
                <wp:effectExtent l="9525" t="0" r="0" b="317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27237" id="Group 2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">
                <v:shape id="Graphic 3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CDCB431" w14:textId="77777777" w:rsidR="00C035C1" w:rsidRDefault="00C035C1">
      <w:pPr>
        <w:pStyle w:val="BodyText"/>
        <w:spacing w:before="97"/>
        <w:rPr>
          <w:sz w:val="20"/>
        </w:rPr>
      </w:pPr>
    </w:p>
    <w:p w14:paraId="49F9A048" w14:textId="77777777" w:rsidR="00C035C1" w:rsidRDefault="00311F8C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5810A8D" wp14:editId="452708BB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sectPr w:rsidR="00C035C1">
      <w:type w:val="continuous"/>
      <w:pgSz w:w="11910" w:h="16840"/>
      <w:pgMar w:top="62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5C1"/>
    <w:rsid w:val="002430B1"/>
    <w:rsid w:val="00311F8C"/>
    <w:rsid w:val="00C035C1"/>
    <w:rsid w:val="00F1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FB7DB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9"/>
      <w:ind w:left="100" w:right="1834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acvic.org.au/yerp/diversity-equity-inclusion/youth-worker-allyship/" TargetMode="External"/><Relationship Id="rId4" Type="http://schemas.openxmlformats.org/officeDocument/2006/relationships/hyperlink" Target="https://www.yacvic.org.au/yerp/diversity-equity-inclusion/inclusive-langu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2024-11-25T02:46:00Z</dcterms:created>
  <dcterms:modified xsi:type="dcterms:W3CDTF">2024-12-02T03:18:00Z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59f389c9a66d0b59ee9ba216b343eb0ac99f4550a497dba64feeee6de0790363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2024-12-02T03:18:27Z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3e549bcc-24de-404f-8695-bd92e555566a</vt:lpwstr>
  </property>
  <property fmtid="{D5CDD505-2E9C-101B-9397-08002B2CF9AE}" pid="13" name="MSIP_Label_79d889eb-932f-4752-8739-64d25806ef64_ContentBits">
    <vt:lpwstr>0</vt:lpwstr>
  </property>
</Properties>
</file>